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F05" w:rsidRPr="00274E0F" w:rsidRDefault="00274E0F" w:rsidP="003772FE">
      <w:pPr>
        <w:pStyle w:val="Corpo"/>
        <w:spacing w:after="240"/>
        <w:ind w:left="710"/>
        <w:jc w:val="center"/>
        <w:rPr>
          <w:rFonts w:asciiTheme="minorHAnsi" w:hAnsiTheme="minorHAnsi" w:cs="Arial"/>
          <w:b/>
          <w:color w:val="auto"/>
          <w:szCs w:val="24"/>
          <w:lang w:val="pt-BR"/>
        </w:rPr>
      </w:pPr>
      <w:r w:rsidRPr="00274E0F">
        <w:rPr>
          <w:rFonts w:asciiTheme="minorHAnsi" w:hAnsiTheme="minorHAnsi" w:cs="Arial"/>
          <w:b/>
          <w:color w:val="auto"/>
          <w:szCs w:val="24"/>
          <w:lang w:val="pt-BR"/>
        </w:rPr>
        <w:t>ANEXO VII</w:t>
      </w:r>
      <w:r w:rsidR="002653E8">
        <w:rPr>
          <w:rFonts w:asciiTheme="minorHAnsi" w:hAnsiTheme="minorHAnsi" w:cs="Arial"/>
          <w:b/>
          <w:color w:val="auto"/>
          <w:szCs w:val="24"/>
          <w:lang w:val="pt-BR"/>
        </w:rPr>
        <w:t>I</w:t>
      </w:r>
    </w:p>
    <w:p w:rsidR="003772FE" w:rsidRPr="00274E0F" w:rsidRDefault="003772FE" w:rsidP="003772FE">
      <w:pPr>
        <w:pStyle w:val="Corpo"/>
        <w:spacing w:after="240"/>
        <w:ind w:left="710"/>
        <w:jc w:val="center"/>
        <w:rPr>
          <w:rFonts w:asciiTheme="minorHAnsi" w:hAnsiTheme="minorHAnsi" w:cs="Arial"/>
          <w:b/>
          <w:color w:val="auto"/>
          <w:szCs w:val="24"/>
          <w:lang w:val="pt-BR"/>
        </w:rPr>
      </w:pPr>
      <w:r w:rsidRPr="00274E0F">
        <w:rPr>
          <w:rFonts w:asciiTheme="minorHAnsi" w:hAnsiTheme="minorHAnsi" w:cs="Arial"/>
          <w:b/>
          <w:color w:val="auto"/>
          <w:szCs w:val="24"/>
          <w:lang w:val="pt-BR"/>
        </w:rPr>
        <w:t>CONTA VINCULADA PARA A QUITAÇÃO DE OBRIGAÇÕES TRABALHISTAS</w:t>
      </w:r>
    </w:p>
    <w:p w:rsidR="003772FE" w:rsidRDefault="003772FE" w:rsidP="003772FE">
      <w:pPr>
        <w:pStyle w:val="Normal1"/>
        <w:tabs>
          <w:tab w:val="left" w:pos="551"/>
          <w:tab w:val="center" w:pos="4677"/>
        </w:tabs>
        <w:spacing w:before="120" w:after="120"/>
        <w:jc w:val="center"/>
        <w:rPr>
          <w:color w:val="auto"/>
          <w:sz w:val="22"/>
          <w:szCs w:val="22"/>
        </w:rPr>
      </w:pPr>
    </w:p>
    <w:p w:rsidR="003772FE" w:rsidRDefault="003772FE" w:rsidP="003772FE">
      <w:pPr>
        <w:pStyle w:val="Normal1"/>
        <w:tabs>
          <w:tab w:val="left" w:pos="551"/>
          <w:tab w:val="center" w:pos="4677"/>
        </w:tabs>
        <w:spacing w:before="120" w:after="12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EM CONFORMIDADE COM O ANEXO VII  DA IN 03 DE DEZEMBRO DE 2014.</w:t>
      </w:r>
    </w:p>
    <w:p w:rsidR="003772FE" w:rsidRDefault="003772FE" w:rsidP="003772FE">
      <w:pPr>
        <w:pStyle w:val="Normal1"/>
        <w:spacing w:before="120" w:after="12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PREGÃO ELETRÔNICO Nº 0</w:t>
      </w:r>
      <w:r w:rsidR="0035636A">
        <w:rPr>
          <w:color w:val="auto"/>
          <w:sz w:val="22"/>
          <w:szCs w:val="22"/>
        </w:rPr>
        <w:t>3</w:t>
      </w:r>
      <w:bookmarkStart w:id="0" w:name="_GoBack"/>
      <w:bookmarkEnd w:id="0"/>
      <w:r>
        <w:rPr>
          <w:color w:val="auto"/>
          <w:sz w:val="22"/>
          <w:szCs w:val="22"/>
        </w:rPr>
        <w:t>/2015</w:t>
      </w:r>
    </w:p>
    <w:p w:rsidR="003772FE" w:rsidRDefault="003772FE" w:rsidP="003772FE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 xml:space="preserve"> </w:t>
      </w:r>
    </w:p>
    <w:p w:rsidR="00826FB7" w:rsidRPr="002852C6" w:rsidRDefault="00826FB7" w:rsidP="003772FE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(Redação dada pela Instrução Normativa nº 3, de 24 de junho de 2014</w:t>
      </w:r>
      <w:proofErr w:type="gramStart"/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)</w:t>
      </w:r>
      <w:proofErr w:type="gramEnd"/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 As provisões realizadas pela Administração contratante para o pagamento dos encargos trabalhistas de que trata este Anexo, em relação à mão de obra das empresas contratadas para prestar serviços de forma contínua, por meio de dedicação exclusiva de mão de obra, serão destacadas do valor mensal do contrato e serão depositados pela Administração em conta vinculada, doravante, denominada conta-depósito vinculada - bloqueada para movimentação, aberta em nome do prestador de serviço.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1.1 A movimentação da conta-depósito vinculada - bloqueada para movimentação dependerá de autorização do órgão ou entidade contratante e será feita exclusivamente para o pagamento das obrigações a seguir: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1.1.1 O montante dos depósitos da conta-depósito vinculada - bloqueada para movimentação será igual ao somatório dos valores das seguintes provisões: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                     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I - 13</w:t>
      </w:r>
      <w:r w:rsidRPr="002852C6">
        <w:rPr>
          <w:rFonts w:eastAsia="Times New Roman" w:cs="Arial"/>
          <w:color w:val="000000"/>
          <w:sz w:val="21"/>
          <w:szCs w:val="21"/>
          <w:vertAlign w:val="superscript"/>
          <w:lang w:eastAsia="pt-BR"/>
        </w:rPr>
        <w:t>o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(décimo terceiro) salário;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II - férias e um terço constitucional de férias;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                    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III - multa sobre o FGTS e contribuição social para as rescisões sem justa causa;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e</w:t>
      </w:r>
      <w:proofErr w:type="gramEnd"/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IV - encargos sobre férias e 13</w:t>
      </w:r>
      <w:r w:rsidRPr="002852C6">
        <w:rPr>
          <w:rFonts w:eastAsia="Times New Roman" w:cs="Arial"/>
          <w:color w:val="000000"/>
          <w:sz w:val="21"/>
          <w:szCs w:val="21"/>
          <w:vertAlign w:val="superscript"/>
          <w:lang w:eastAsia="pt-BR"/>
        </w:rPr>
        <w:t>o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(décimo terceiro) salário.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1.2 O órgão ou entidade contratante deverá firmar </w:t>
      </w:r>
      <w:r w:rsidRPr="00707E77">
        <w:rPr>
          <w:rFonts w:eastAsia="Times New Roman" w:cs="Arial"/>
          <w:color w:val="000000"/>
          <w:sz w:val="21"/>
          <w:szCs w:val="21"/>
          <w:highlight w:val="yellow"/>
          <w:lang w:eastAsia="pt-BR"/>
        </w:rPr>
        <w:t xml:space="preserve">Termo de Cooperação Técnica com Instituição Financeira, cuja minuta se constituirá </w:t>
      </w:r>
      <w:proofErr w:type="gramStart"/>
      <w:r w:rsidRPr="00707E77">
        <w:rPr>
          <w:rFonts w:eastAsia="Times New Roman" w:cs="Arial"/>
          <w:color w:val="000000"/>
          <w:sz w:val="21"/>
          <w:szCs w:val="21"/>
          <w:highlight w:val="yellow"/>
          <w:lang w:eastAsia="pt-BR"/>
        </w:rPr>
        <w:t>anexo do Edital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, o qual determinará os termos para a abertura da conta-depósito vinculada - bloqueada para movimentação e as condições de sua movimentação.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1.3 O Termo de Cooperação Técnica poderá ser ajustado às peculiaridades dos serviços, objeto do Contrato Administrativo, e/ou aos procedimentos internos da Instituição Financeira, nos termos deste Anexo.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2. A assinatura do contrato de prestação de serviços entre o órgão ou entidade contratante e a empresa vencedora do certame será precedida dos seguintes atos: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lastRenderedPageBreak/>
        <w:t xml:space="preserve">2.1.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solicitação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do órgão ou entidade contratante, mediante oficio, de abertura da conta-depósito vinculada-bloqueada para movimentação, conforme disposto no item 1;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2.2.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assinatura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, pela empresa a ser contratada, no ato da regularização da conta-depósito vinculada - bloqueada para movimentação, de termo de autorização que permita ao órgão ou entidade contratante ter acesso aos saldos e aos extratos, e que vincule a movimentação dos valores depositados mediante autorização do órgão contratante, nos termos  do Anexo IX desta Instrução Normativa.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3. O saldo da conta-depósito vinculada - bloqueada para movimentação será remunerado pelo índice de correção da poupança </w:t>
      </w:r>
      <w:proofErr w:type="gramStart"/>
      <w:r w:rsidRPr="002852C6">
        <w:rPr>
          <w:rFonts w:eastAsia="Times New Roman" w:cs="Arial"/>
          <w:i/>
          <w:iCs/>
          <w:color w:val="000000"/>
          <w:sz w:val="21"/>
          <w:szCs w:val="21"/>
          <w:lang w:eastAsia="pt-BR"/>
        </w:rPr>
        <w:t>pro rata</w:t>
      </w:r>
      <w:proofErr w:type="gramEnd"/>
      <w:r w:rsidRPr="002852C6">
        <w:rPr>
          <w:rFonts w:eastAsia="Times New Roman" w:cs="Arial"/>
          <w:i/>
          <w:iCs/>
          <w:color w:val="000000"/>
          <w:sz w:val="21"/>
          <w:szCs w:val="21"/>
          <w:lang w:eastAsia="pt-BR"/>
        </w:rPr>
        <w:t xml:space="preserve"> die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, conforme definido no respectivo Termo de Cooperação Técnica.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3.1 Eventual alteração da forma de correção da poupança prevista no item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3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deste Anexo implicará a revisão do Termo de Cooperação Técnica.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4. Os valores referentes às provisões de encargos trabalhistas mencionados no subitem 1.1.1, retidos por meio da conta-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depósito vinculada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- bloqueada para movimentação, deixarão de compor o valor mensal a ser pago diretamente à empresa.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5. Os editais deverão conter expressamente as regras previstas neste Anexo e documento de autorização para a criação da conta-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depósito vinculada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- bloqueada para movimentação,  que deverá ser assinado pela contratada, nos termos do art. 19-A desta Instrução Normativa.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6. Os órgãos ou entidades da Administração Pública Federal poderão negociar com a Instituição Financeira, caso haja cobrança de tarifas bancárias, a isenção ou redução das referidas tarifas para abertura e movimentação da conta-depósito vinculada – bloqueada para movimentação.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7. Os editais deverão informar aos proponentes que, em caso de cobrança de tarifa bancária para operacionalização da conta-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depósito vinculada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- bloqueada para movimentação, os recursos atinentes a essas despesas serão debitados dos valores depositados.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7.1 Os recursos atinentes à cobrança de tarifa bancária para operacionalização da conta-depósito vinculada – bloqueada para movimentação poderão ser previstos na proposta da licitante.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7.2 Os editais deverão informar o valor total/global ou estimado das tarifas bancárias de modo que tal parcela possa constar da planilha apresentada pelos proponentes.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8. A empresa contratada poderá solicitar a autorização do órgão ou entidade contratante para utilizar os valores da conta-depósito vinculada - bloqueada para movimentação para o pagamento dos encargos trabalhistas previstos neste Anexo ou de eventuais indenizações trabalhistas aos empregados, decorrentes de situações ocorridas durante a vigência do contrato.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8.1 Para a liberação dos recursos em conta-depósito vinculada - bloqueada para movimentação para o pagamento dos encargos trabalhistas ou de eventuais indenizações trabalhistas aos empregados, decorrentes de situações ocorridas durante a vigência do contrato, a empresa deverá 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lastRenderedPageBreak/>
        <w:t>apresentar ao órgão ou entidade contratante os documentos comprobatórios da ocorrência das obrigações trabalhistas e seus respectivos prazos de vencimento.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8.2 Após a confirmação da ocorrência da situação que ensejou o pagamento dos encargos trabalhistas ou de eventual indenização trabalhista e a conferência dos cálculos, o órgão ou entidade contratante expedirá a autorização para a movimentação dos recursos creditados em conta-depósito vinculada - bloqueada para movimentação e a encaminhará à Instituição Financeira no prazo máximo de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5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(cinco) dias úteis, a contar da data da apresentação dos documentos comprobatórios pela empresa.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8.3 A autorização de que trata o item 8.2 deverá especificar que a movimentação será exclusiva para o pagamento dos encargos trabalhistas ou de eventual indenização trabalhista aos trabalhadores favorecidos.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9. A empresa deverá apresentar ao órgão ou entidade contratante, no prazo máximo de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3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(três) dias úteis, contados da movimentação, o comprovante das transferências bancárias realizadas para a quitação das obrigações trabalhistas.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10. O saldo remanescente dos recursos depositados na conta-depósito vinculada - bloqueada para movimentação será liberado à empresa no momento do encerramento do contrato, na presença do sindicato da categoria correspondente aos serviços contratados, após a comprovação da quitação de todos os encargos trabalhistas e previdenciários relativos ao serviço contratado.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11.  A Administração poderá utilizar como referência para fins de provisão dos encargos sociais e trabalhistas o modelo de Planilha disponível no Portal de Compras do Governo Federal (Compras Governamentais), devendo adaptá-lo às especificidades dos serviços a ser contratados.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12. Os valores provisionados para atendimento do subitem 1.1.1 serão discriminados conforme tabela a seguir: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Default="00826FB7" w:rsidP="00826FB7">
      <w:pPr>
        <w:rPr>
          <w:rFonts w:eastAsia="Times New Roman" w:cs="Arial"/>
          <w:b/>
          <w:bCs/>
          <w:color w:val="000000"/>
          <w:sz w:val="21"/>
          <w:szCs w:val="21"/>
          <w:lang w:eastAsia="pt-BR"/>
        </w:rPr>
      </w:pPr>
      <w:r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br w:type="page"/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lastRenderedPageBreak/>
        <w:t>RESERVA MENSAL PARA O PAGAMENTO DE ENCARGOS TRABALHISTAS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PERCENTUAIS INCIDENTES SOBRE A REMUNERAÇÃO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8"/>
        <w:gridCol w:w="1920"/>
        <w:gridCol w:w="1829"/>
        <w:gridCol w:w="1897"/>
      </w:tblGrid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ITEM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13</w:t>
            </w:r>
            <w:r w:rsidRPr="002852C6">
              <w:rPr>
                <w:rFonts w:eastAsia="Times New Roman" w:cs="Times New Roman"/>
                <w:sz w:val="21"/>
                <w:szCs w:val="21"/>
                <w:vertAlign w:val="superscript"/>
                <w:lang w:eastAsia="pt-BR"/>
              </w:rPr>
              <w:t>o</w:t>
            </w: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 (décimo terceiro) salário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8,33%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oito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trinta e três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Férias e 1/3 Constitucional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12,10%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doze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dez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Multa sobre FGTS e contribuição social sobre o aviso prévio indenizado e sobre o aviso prévio trabalhado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826FB7" w:rsidRPr="002852C6" w:rsidRDefault="00826FB7" w:rsidP="005F420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5,00 % (cinco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Subtotal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25,43%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vinte e cinco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quarenta e três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Incidência do </w:t>
            </w:r>
            <w:proofErr w:type="spell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Submódulo</w:t>
            </w:r>
            <w:proofErr w:type="spell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4.1 sobre férias, um terço constitucional de férias e 13</w:t>
            </w:r>
            <w:r w:rsidRPr="002852C6">
              <w:rPr>
                <w:rFonts w:eastAsia="Times New Roman" w:cs="Times New Roman"/>
                <w:sz w:val="21"/>
                <w:szCs w:val="21"/>
                <w:vertAlign w:val="superscript"/>
                <w:lang w:eastAsia="pt-BR"/>
              </w:rPr>
              <w:t>o</w:t>
            </w: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(décimo terceiro) salário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*</w:t>
            </w:r>
            <w:proofErr w:type="gramEnd"/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7,39%</w:t>
            </w:r>
          </w:p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sete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trinta e nove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7,60%</w:t>
            </w:r>
          </w:p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sete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seis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7,82%</w:t>
            </w:r>
          </w:p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sete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oitenta e dois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826FB7" w:rsidRPr="002852C6" w:rsidRDefault="00826FB7" w:rsidP="005F420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Total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32,82%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trinta e dois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oitenta e dois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33,03%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trinta e três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zero três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33,25%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trinta e três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vinte e cinco por cento)</w:t>
            </w:r>
          </w:p>
        </w:tc>
      </w:tr>
    </w:tbl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* Considerando as alíquotas de contribuição de 1% (um por cento), 2% (dois por cento) ou 3% (três por cento) referentes ao grau de risco de acidente do trabalho, previstas no art. 22, inciso II, da Lei n</w:t>
      </w:r>
      <w:r w:rsidRPr="002852C6">
        <w:rPr>
          <w:rFonts w:eastAsia="Times New Roman" w:cs="Arial"/>
          <w:color w:val="000000"/>
          <w:sz w:val="21"/>
          <w:szCs w:val="21"/>
          <w:vertAlign w:val="superscript"/>
          <w:lang w:eastAsia="pt-BR"/>
        </w:rPr>
        <w:t>o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8.212, de 24 de julho de 1991.</w:t>
      </w:r>
    </w:p>
    <w:p w:rsidR="00826FB7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A3526" w:rsidRPr="00826FB7" w:rsidRDefault="008A3526">
      <w:pPr>
        <w:rPr>
          <w:rFonts w:eastAsia="Times New Roman" w:cs="Arial"/>
          <w:color w:val="231F20"/>
          <w:sz w:val="19"/>
          <w:szCs w:val="19"/>
          <w:lang w:eastAsia="pt-BR"/>
        </w:rPr>
      </w:pPr>
    </w:p>
    <w:sectPr w:rsidR="008A3526" w:rsidRPr="00826FB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8E8" w:rsidRDefault="005D48E8" w:rsidP="005D48E8">
      <w:pPr>
        <w:spacing w:after="0" w:line="240" w:lineRule="auto"/>
      </w:pPr>
      <w:r>
        <w:separator/>
      </w:r>
    </w:p>
  </w:endnote>
  <w:endnote w:type="continuationSeparator" w:id="0">
    <w:p w:rsidR="005D48E8" w:rsidRDefault="005D48E8" w:rsidP="005D4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8E8" w:rsidRDefault="005D48E8" w:rsidP="005D48E8">
      <w:pPr>
        <w:spacing w:after="0" w:line="240" w:lineRule="auto"/>
      </w:pPr>
      <w:r>
        <w:separator/>
      </w:r>
    </w:p>
  </w:footnote>
  <w:footnote w:type="continuationSeparator" w:id="0">
    <w:p w:rsidR="005D48E8" w:rsidRDefault="005D48E8" w:rsidP="005D4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E8" w:rsidRDefault="0035636A" w:rsidP="005D48E8">
    <w:pPr>
      <w:pStyle w:val="Cabealho"/>
      <w:jc w:val="center"/>
      <w:rPr>
        <w:rFonts w:ascii="Arial" w:hAnsi="Arial" w:cs="Arial"/>
        <w:color w:val="00FF00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2049" style="position:absolute;left:0;text-align:left;margin-left:405.3pt;margin-top:-6.1pt;width:78.65pt;height:78.65pt;z-index:251658240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5D48E8"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5C898BDB" wp14:editId="23C743E0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48E8" w:rsidRDefault="005D48E8" w:rsidP="005D48E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D48E8" w:rsidRDefault="005D48E8" w:rsidP="005D48E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D48E8" w:rsidRDefault="005D48E8" w:rsidP="005D48E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D48E8" w:rsidRPr="00550118" w:rsidRDefault="005D48E8" w:rsidP="005D48E8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5D48E8" w:rsidRPr="00550118" w:rsidRDefault="005D48E8" w:rsidP="005D48E8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 w:rsidRPr="00550118">
      <w:rPr>
        <w:rFonts w:asciiTheme="minorHAnsi" w:hAnsiTheme="minorHAnsi" w:cs="Arial"/>
        <w:bCs/>
        <w:color w:val="000000" w:themeColor="text1"/>
      </w:rPr>
      <w:t>DEPARTAMENTO DE POLICIA FEDERAL</w:t>
    </w:r>
  </w:p>
  <w:p w:rsidR="005D48E8" w:rsidRPr="00550118" w:rsidRDefault="005D48E8" w:rsidP="005D48E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5D48E8" w:rsidRPr="00550118" w:rsidRDefault="005D48E8" w:rsidP="005D48E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5D48E8" w:rsidRPr="00550118" w:rsidRDefault="005D48E8" w:rsidP="005D48E8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eastAsia="SimSun" w:cs="Times New Roman"/>
        <w:b/>
        <w:bCs/>
        <w:kern w:val="3"/>
        <w:sz w:val="24"/>
        <w:szCs w:val="24"/>
        <w:lang w:eastAsia="zh-CN" w:bidi="hi-IN"/>
      </w:rPr>
    </w:pPr>
    <w:r w:rsidRPr="00550118">
      <w:rPr>
        <w:rFonts w:eastAsia="SimSun" w:cs="Times New Roman"/>
        <w:b/>
        <w:bCs/>
        <w:kern w:val="3"/>
        <w:sz w:val="24"/>
        <w:szCs w:val="24"/>
        <w:lang w:eastAsia="zh-CN" w:bidi="hi-IN"/>
      </w:rPr>
      <w:t>COMISSÃO PERMANENTE DE LICITAÇÃO</w:t>
    </w:r>
  </w:p>
  <w:p w:rsidR="005D48E8" w:rsidRDefault="005D48E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B7"/>
    <w:rsid w:val="002653E8"/>
    <w:rsid w:val="00274E0F"/>
    <w:rsid w:val="0035636A"/>
    <w:rsid w:val="003772FE"/>
    <w:rsid w:val="005A1F05"/>
    <w:rsid w:val="005D48E8"/>
    <w:rsid w:val="00707E77"/>
    <w:rsid w:val="007D2B18"/>
    <w:rsid w:val="00826FB7"/>
    <w:rsid w:val="008A3526"/>
    <w:rsid w:val="00CE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FB7"/>
  </w:style>
  <w:style w:type="paragraph" w:styleId="Ttulo3">
    <w:name w:val="heading 3"/>
    <w:basedOn w:val="Normal"/>
    <w:next w:val="Normal"/>
    <w:link w:val="Ttulo3Char"/>
    <w:unhideWhenUsed/>
    <w:qFormat/>
    <w:rsid w:val="005D48E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D48E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D48E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">
    <w:name w:val="Corpo"/>
    <w:rsid w:val="003772F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ar-SA"/>
    </w:rPr>
  </w:style>
  <w:style w:type="paragraph" w:customStyle="1" w:styleId="Normal1">
    <w:name w:val="Normal1"/>
    <w:rsid w:val="003772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D48E8"/>
  </w:style>
  <w:style w:type="paragraph" w:styleId="Rodap">
    <w:name w:val="footer"/>
    <w:basedOn w:val="Normal"/>
    <w:link w:val="RodapChar"/>
    <w:uiPriority w:val="99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48E8"/>
  </w:style>
  <w:style w:type="character" w:customStyle="1" w:styleId="Ttulo3Char">
    <w:name w:val="Título 3 Char"/>
    <w:basedOn w:val="Fontepargpadro"/>
    <w:link w:val="Ttulo3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D48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FB7"/>
  </w:style>
  <w:style w:type="paragraph" w:styleId="Ttulo3">
    <w:name w:val="heading 3"/>
    <w:basedOn w:val="Normal"/>
    <w:next w:val="Normal"/>
    <w:link w:val="Ttulo3Char"/>
    <w:unhideWhenUsed/>
    <w:qFormat/>
    <w:rsid w:val="005D48E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D48E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D48E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">
    <w:name w:val="Corpo"/>
    <w:rsid w:val="003772F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ar-SA"/>
    </w:rPr>
  </w:style>
  <w:style w:type="paragraph" w:customStyle="1" w:styleId="Normal1">
    <w:name w:val="Normal1"/>
    <w:rsid w:val="003772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D48E8"/>
  </w:style>
  <w:style w:type="paragraph" w:styleId="Rodap">
    <w:name w:val="footer"/>
    <w:basedOn w:val="Normal"/>
    <w:link w:val="RodapChar"/>
    <w:uiPriority w:val="99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48E8"/>
  </w:style>
  <w:style w:type="character" w:customStyle="1" w:styleId="Ttulo3Char">
    <w:name w:val="Título 3 Char"/>
    <w:basedOn w:val="Fontepargpadro"/>
    <w:link w:val="Ttulo3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D48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1233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8</cp:revision>
  <dcterms:created xsi:type="dcterms:W3CDTF">2015-02-26T22:29:00Z</dcterms:created>
  <dcterms:modified xsi:type="dcterms:W3CDTF">2015-04-24T17:05:00Z</dcterms:modified>
</cp:coreProperties>
</file>